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Stor nödbelysning för enkelsidig och dubbelsidig hänvisning.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420 mm x 82 mm x 220 mm.</w:t>
      </w:r>
    </w:p>
    <w:p>
      <w:pPr>
        <w:numPr>
          <w:ilvl w:val="0"/>
          <w:numId w:val="3"/>
        </w:numPr>
      </w:pPr>
      <w:r>
        <w:rPr/>
        <w:t xml:space="preserve">Armaturhus i vit polykarbonat för tak-, vägg- eller flaggmontage. Kopplingsplint för överkoppling.</w:t>
      </w:r>
    </w:p>
    <w:p>
      <w:pPr>
        <w:numPr>
          <w:ilvl w:val="0"/>
          <w:numId w:val="3"/>
        </w:numPr>
      </w:pPr>
      <w:r>
        <w:rPr/>
        <w:t xml:space="preserve">Lumen nödläge: 110 lm.</w:t>
      </w:r>
    </w:p>
    <w:p>
      <w:pPr>
        <w:numPr>
          <w:ilvl w:val="0"/>
          <w:numId w:val="3"/>
        </w:numPr>
      </w:pPr>
      <w:r>
        <w:rPr/>
        <w:t xml:space="preserve">Energiförbrukning: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 Piktogrammets läsavstånd är 40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IP54.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467E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2024-01-17T11:25:48+01:00</dcterms:created>
  <dcterms:modified xsi:type="dcterms:W3CDTF">2024-01-17T11:25:48+01:00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