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R3113/LEDN445DX1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1340 mm x 260 mm x 35 mm.</w:t>
      </w:r>
    </w:p>
    <w:p>
      <w:pPr>
        <w:numPr>
          <w:ilvl w:val="0"/>
          <w:numId w:val="3"/>
        </w:numPr>
      </w:pPr>
      <w:r>
        <w:rPr/>
        <w:t xml:space="preserve">Flux lumineux: 4400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29.0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 corrélée: 4000 K, Rendu des couleurs ra: 80.</w:t>
      </w:r>
    </w:p>
    <w:p>
      <w:pPr>
        <w:numPr>
          <w:ilvl w:val="0"/>
          <w:numId w:val="3"/>
        </w:numPr>
      </w:pPr>
      <w:r>
        <w:rPr/>
        <w:t xml:space="preserve">Standard deviation colour matching: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{{object.ugrClass} et luminances @ 65° {{object.luminanceClass}}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 de sécurité (texturé).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R3H1201/150-5X1, R3H1101/150-5, R3H1120-X1, R3H1130-X1.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F419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2023-06-28T14:51:01+02:00</dcterms:created>
  <dcterms:modified xsi:type="dcterms:W3CDTF">2023-06-28T14:51:01+02:00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