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Shielded Lens de montagem saliente e suspensa 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20 mm e cantos arredondados sem emendas. Unidades de blindagem com cantos arredondados..</w:t>
      </w:r>
    </w:p>
    <w:p>
      <w:pPr>
        <w:numPr>
          <w:ilvl w:val="0"/>
          <w:numId w:val="3"/>
        </w:numPr>
      </w:pPr>
      <w:r>
        <w:rPr/>
        <w:t xml:space="preserve">Dimensões: 1340 mm x 260 mm x 35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4400 lm, Fluxo luminoso específico: 152 lm/W.</w:t>
      </w:r>
    </w:p>
    <w:p>
      <w:pPr>
        <w:numPr>
          <w:ilvl w:val="0"/>
          <w:numId w:val="3"/>
        </w:numPr>
      </w:pPr>
      <w:r>
        <w:rPr/>
        <w:t xml:space="preserve">Potência: 29.0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encandeamento com UGR &lt;= 16 e luminâncias @ @ 65° 3000 Cd/m² cd/m² conforme a norma EN 12464-1 para exigências visuais muito elevadas, por exemplo, controlo de qualidade, tarefa de precisão.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E9EFB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2023-06-28T14:51:02+02:00</dcterms:created>
  <dcterms:modified xsi:type="dcterms:W3CDTF">2023-06-28T14:51:02+02:00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