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R3115/LEDN220DX1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Shielded Lens en saillie ou suspendus .</w:t>
      </w:r>
    </w:p>
    <w:p>
      <w:pPr>
        <w:numPr>
          <w:ilvl w:val="0"/>
          <w:numId w:val="3"/>
        </w:numPr>
      </w:pPr>
      <w:r>
        <w:rPr/>
        <w:t xml:space="preserve">Shielded lens , optique polycarbonate (PC) avec un fin film d’aluminium,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Structure aux angles arrondis sans pliure ni soudure, hauteur 20mm visibles. Unités de protection avec extrémités arrondies.</w:t>
      </w:r>
    </w:p>
    <w:p>
      <w:pPr>
        <w:numPr>
          <w:ilvl w:val="0"/>
          <w:numId w:val="3"/>
        </w:numPr>
      </w:pPr>
      <w:r>
        <w:rPr/>
        <w:t xml:space="preserve">Dimensions: 1300 mm x 180 mm x 35 mm.</w:t>
      </w:r>
    </w:p>
    <w:p>
      <w:pPr>
        <w:numPr>
          <w:ilvl w:val="0"/>
          <w:numId w:val="3"/>
        </w:numPr>
      </w:pPr>
      <w:r>
        <w:rPr/>
        <w:t xml:space="preserve">Flux lumineux: 2200 lm, Efficacité lumineuse: 138 lm/W.</w:t>
      </w:r>
    </w:p>
    <w:p>
      <w:pPr>
        <w:numPr>
          <w:ilvl w:val="0"/>
          <w:numId w:val="3"/>
        </w:numPr>
      </w:pPr>
      <w:r>
        <w:rPr/>
        <w:t xml:space="preserve">Consommation de courant: 15.9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 corrélée: 4000 K, Rendu des couleurs ra: 80.</w:t>
      </w:r>
    </w:p>
    <w:p>
      <w:pPr>
        <w:numPr>
          <w:ilvl w:val="0"/>
          <w:numId w:val="3"/>
        </w:numPr>
      </w:pPr>
      <w:r>
        <w:rPr/>
        <w:t xml:space="preserve">Standard deviation colour matching: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{{object.ugrClass} et luminances @ 65° {{object.luminanceClass}} cd/m² conforme à la norme EN 12464-1 pour des exigences visuelles très élevées, z.g. contrôle qualité, tâche de précision.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 de sécurité (texturé).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R3H1201/150-5X1, R3H1101/150-5, R3H1120-X1, R3H1130-X1.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C1438E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2023-06-28T14:53:58+02:00</dcterms:created>
  <dcterms:modified xsi:type="dcterms:W3CDTF">2023-06-28T14:53:58+02:00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