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R3151/LEDN455DX1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Luminarias Shielded Lens suspendidas y de superficie .</w:t>
      </w:r>
    </w:p>
    <w:p>
      <w:pPr>
        <w:numPr>
          <w:ilvl w:val="0"/>
          <w:numId w:val="3"/>
        </w:numPr>
      </w:pPr>
      <w:r>
        <w:rPr/>
        <w:t xml:space="preserve">Shielded lens óptica, blanco policarbonato (PC), extensiva media distribución luminosa.</w:t>
      </w:r>
    </w:p>
    <w:p>
      <w:pPr>
        <w:numPr>
          <w:ilvl w:val="0"/>
          <w:numId w:val="3"/>
        </w:numPr>
      </w:pPr>
      <w:r>
        <w:rPr/>
        <w:t xml:space="preserve">Carcasa con una altura visible de 20 mm y esquina redondeada sin uniones visibles. Unidades de apantallamiento con esquinas redondeadas.</w:t>
      </w:r>
    </w:p>
    <w:p>
      <w:pPr>
        <w:numPr>
          <w:ilvl w:val="0"/>
          <w:numId w:val="3"/>
        </w:numPr>
      </w:pPr>
      <w:r>
        <w:rPr/>
        <w:t xml:space="preserve">Dimensiones: 1380 mm x 260 mm x 35 mm.</w:t>
      </w:r>
    </w:p>
    <w:p>
      <w:pPr>
        <w:numPr>
          <w:ilvl w:val="0"/>
          <w:numId w:val="3"/>
        </w:numPr>
      </w:pPr>
      <w:r>
        <w:rPr/>
        <w:t xml:space="preserve">Shielded lens: la fuente de luz se oculta a la vista en lentes apantalladas, la distribución de la luz se realiza con la lente. Dos lentes por unidad de apantallamiento.</w:t>
      </w:r>
    </w:p>
    <w:p>
      <w:pPr>
        <w:numPr>
          <w:ilvl w:val="0"/>
          <w:numId w:val="3"/>
        </w:numPr>
      </w:pPr>
      <w:r>
        <w:rPr/>
        <w:t xml:space="preserve">Flujo luminoso: 5300 lm, Flujo luminoso específico: 147 lm/W.</w:t>
      </w:r>
    </w:p>
    <w:p>
      <w:pPr>
        <w:numPr>
          <w:ilvl w:val="0"/>
          <w:numId w:val="3"/>
        </w:numPr>
      </w:pPr>
      <w:r>
        <w:rPr/>
        <w:t xml:space="preserve">Consumo de energía: 36.0 W, DALI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98%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Shielded lens para distribución de luz sin deslumbramiento con UGR &lt;= 16 y luminancias @ 65° 3000 Cd/m² cd/m² conforme a la norma EN 12464-1 para exigencia visual muy alta, p. Ej. control de calidad, tarea de precisión.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Chapa de acero lacado carcasa, RAL9003 - blanco (texturizado).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Comprobación del filamento: 650°C.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>
      <w:pPr>
        <w:numPr>
          <w:ilvl w:val="0"/>
          <w:numId w:val="3"/>
        </w:numPr>
      </w:pPr>
      <w:r>
        <w:rPr/>
        <w:t xml:space="preserve">Selección de accesorios necesarios para el montaje: ACC-HI00-X00, ACC-HI00-X01, ACC-HI00-X02, ACC-HI01-3P-1500, ACC-HI01-5P-1500, ACC-HI02-3P-1500, ACC-HI02-5P-1500.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C40F1E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2023-10-05T12:13:16+02:00</dcterms:created>
  <dcterms:modified xsi:type="dcterms:W3CDTF">2023-10-05T12:13:16+02:00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