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180 mm x 35 mm.</w:t>
      </w:r>
    </w:p>
    <w:p>
      <w:pPr>
        <w:numPr>
          <w:ilvl w:val="0"/>
          <w:numId w:val="3"/>
        </w:numPr>
      </w:pPr>
      <w:r>
        <w:rPr/>
        <w:t xml:space="preserve">Flux lumineux: 2100 lm, Efficacité lumineuse: 132 lm/W.</w:t>
      </w:r>
    </w:p>
    <w:p>
      <w:pPr>
        <w:numPr>
          <w:ilvl w:val="0"/>
          <w:numId w:val="3"/>
        </w:numPr>
      </w:pPr>
      <w:r>
        <w:rPr/>
        <w:t xml:space="preserve">Consommation de courant: 15.9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FD17C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2023-10-05T12:14:18+02:00</dcterms:created>
  <dcterms:modified xsi:type="dcterms:W3CDTF">2023-10-05T12:14:18+02:00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