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R3318/LEDW440DX1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Shielded Lens en saillie ou suspendus .</w:t>
      </w:r>
    </w:p>
    <w:p>
      <w:pPr>
        <w:numPr>
          <w:ilvl w:val="0"/>
          <w:numId w:val="3"/>
        </w:numPr>
      </w:pPr>
      <w:r>
        <w:rPr/>
        <w:t xml:space="preserve">Shielded lens , optique polycarbonate (PC) avec un fin film d’aluminium, distribution lumineuse très extensive .</w:t>
      </w:r>
    </w:p>
    <w:p>
      <w:pPr>
        <w:numPr>
          <w:ilvl w:val="0"/>
          <w:numId w:val="3"/>
        </w:numPr>
      </w:pPr>
      <w:r>
        <w:rPr/>
        <w:t xml:space="preserve">Structure aux angles arrondis sans pliure ni soudure, hauteur 20mm visibles. Unités de protection avec extrémités arrondies.</w:t>
      </w:r>
    </w:p>
    <w:p>
      <w:pPr>
        <w:numPr>
          <w:ilvl w:val="0"/>
          <w:numId w:val="3"/>
        </w:numPr>
      </w:pPr>
      <w:r>
        <w:rPr/>
        <w:t xml:space="preserve">Dimensions: 630 mm x 630 mm x 35 mm.</w:t>
      </w:r>
    </w:p>
    <w:p>
      <w:pPr>
        <w:numPr>
          <w:ilvl w:val="0"/>
          <w:numId w:val="3"/>
        </w:numPr>
      </w:pPr>
      <w:r>
        <w:rPr/>
        <w:t xml:space="preserve">Flux lumineux: 3950 lm, Efficacité lumineuse: 155 lm/W.</w:t>
      </w:r>
    </w:p>
    <w:p>
      <w:pPr>
        <w:numPr>
          <w:ilvl w:val="0"/>
          <w:numId w:val="3"/>
        </w:numPr>
      </w:pPr>
      <w:r>
        <w:rPr/>
        <w:t xml:space="preserve">Consommation de courant: 25.5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0018CD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2025-03-02T19:09:00+01:00</dcterms:created>
  <dcterms:modified xsi:type="dcterms:W3CDTF">2025-03-02T19:09:00+01:00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