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Anbauleuchte, LED+LENS™ Optik, Polycarbonat (PC) Linse und
Cup,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
Ecken. Linsen in runden Vertiefungen versenkt.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
Linsen mit einer patentierten Oberflächenstruktur. Für eine
angenehme Lichtwahrnehmung sind die Linsen in Vertiefungen
eingelassen.</w:t>
      </w:r>
    </w:p>
    <w:p>
      <w:pPr>
        <w:numPr>
          <w:ilvl w:val="0"/>
          <w:numId w:val="3"/>
        </w:numPr>
      </w:pPr>
      <w:r>
        <w:rPr/>
        <w:t xml:space="preserve">Lichtstrom: 2400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
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
einer Leuchtdichte @ 65° 1000 Cd/m² cd/m² entsprechend der Norm EN
12464-1 für sehr hohe visuelle Anforderungen, z.B.
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Lackiertes stahlblech Gehäuse, RAL9006 - weißaluminium
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Zertifizierungen: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624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2021-01-20T15:57:28+01:00</dcterms:created>
  <dcterms:modified xsi:type="dcterms:W3CDTF">2021-01-20T15:57:28+01:00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