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mit Tageslichtsensor ELS.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DEA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