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R710R1/LEDN2425DX2</w:t>
      </w:r>
    </w:p>
    <w:p/>
    <w:p>
      <w:pPr>
        <w:numPr>
          <w:ilvl w:val="0"/>
          <w:numId w:val="3"/>
        </w:numPr>
      </w:pPr>
      <w:r>
        <w:rPr/>
        <w:t xml:space="preserve">Linear Anbauleuchte, LED+LENS™ Optik, Polycarbonat (PC) Linse und
Cup,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
Ecken. Linsen in runden Vertiefungen versenkt.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
Linsen mit einer patentierten Oberflächenstruktur. Für eine
angenehme Lichtwahrnehmung sind die Linsen in Vertiefungen
eingelassen.</w:t>
      </w:r>
    </w:p>
    <w:p>
      <w:pPr>
        <w:numPr>
          <w:ilvl w:val="0"/>
          <w:numId w:val="3"/>
        </w:numPr>
      </w:pPr>
      <w:r>
        <w:rPr/>
        <w:t xml:space="preserve">Lichtstrom: 2600 lm, Spezifischer Lichtstrom: 130 lm/W.</w:t>
      </w:r>
    </w:p>
    <w:p>
      <w:pPr>
        <w:numPr>
          <w:ilvl w:val="0"/>
          <w:numId w:val="3"/>
        </w:numPr>
      </w:pPr>
      <w:r>
        <w:rPr/>
        <w:t xml:space="preserve">Stromverbrauch: 20.0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überlegener Wartungsfaktor; nach 50.000 Brennstunden behält
die Leuchte 98% seines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
einer Leuchtdichte @ 65° 1000 Cd/m² cd/m² entsprechend der Norm EN
12464-1 für sehr hohe visuelle Anforderungen, z.B.
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EN 62471: RISK GROUP 1 UNLIMITED.</w:t>
      </w:r>
    </w:p>
    <w:p>
      <w:pPr>
        <w:numPr>
          <w:ilvl w:val="0"/>
          <w:numId w:val="3"/>
        </w:numPr>
      </w:pPr>
      <w:r>
        <w:rPr/>
        <w:t xml:space="preserve">Lackiertes stahlblech Gehäuse, RAL9006 - weißaluminium
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Driver.</w:t>
      </w:r>
    </w:p>
    <w:p>
      <w:pPr>
        <w:numPr>
          <w:ilvl w:val="0"/>
          <w:numId w:val="3"/>
        </w:numPr>
      </w:pPr>
      <w:r>
        <w:rPr/>
        <w:t xml:space="preserve">Zertifizierungen: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
entwickelt und produziert, das ISO 9001 und ISO 14001 zertifiziert
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23DA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2021-01-20T16:08:31+01:00</dcterms:created>
  <dcterms:modified xsi:type="dcterms:W3CDTF">2021-01-20T16:08:31+01:00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