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R710R1/LEDN2425DX2</w:t>
      </w:r>
    </w:p>
    <w:p/>
    <w:p>
      <w:pPr>
        <w:numPr>
          <w:ilvl w:val="0"/>
          <w:numId w:val="3"/>
        </w:numPr>
      </w:pPr>
      <w:r>
        <w:rPr/>
        <w:t xml:space="preserve">Rectangular luminaria adosada, LED+LENS™ óptica, lente y reflector
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
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
individuales con una estructura de superficie patentada. Las lentes
están empotradas en pequeñas cápsulas para una experiencia de luz
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98%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
16 y luminancias @ 65° 1000 Cd/m² cd/m² conforme a la norma EN
12464-1 para exigencia visual muy elevada, p. ej. control de calidad,
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RAL9006 - aluminio blanco
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6FD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2021-01-20T16:08:31+01:00</dcterms:created>
  <dcterms:modified xsi:type="dcterms:W3CDTF">2021-01-20T16:08:31+01:00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