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R710R1/LEDN2430DEX2</w:t>
      </w:r>
    </w:p>
    <w:p/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3100 lm, Flux lumineux spécifique: 135 lm/W.</w:t>
      </w:r>
    </w:p>
    <w:p>
      <w:pPr>
        <w:numPr>
          <w:ilvl w:val="0"/>
          <w:numId w:val="3"/>
        </w:numPr>
      </w:pPr>
      <w:r>
        <w:rPr/>
        <w:t xml:space="preserve">Consommation de courant: 23.0 W, DALI gradable, avec capteur de
lumière du jour ELS.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
UGR &lt;= {{object.ugrClass} et luminances @ 65°
{{object.luminanceClass}} cd/m² conforme à la norme EN 12464-1 pour
des exigences visuelles très élevées, z.g. contrôle qualité,
tâche de précision.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97AC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2021-01-20T16:10:17+01:00</dcterms:created>
  <dcterms:modified xsi:type="dcterms:W3CDTF">2021-01-20T16:10:17+01:00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