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Anbauleuchte, LED+LENS™ Optik, Polycarbonat (PC) Linse und
Cup,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
Ecken. Linsen in runden Vertiefungen versenkt.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
Linsen mit einer patentierten Oberflächenstruktur. Für eine
angenehme Lichtwahrnehmung sind die Linsen in Vertiefungen
eingelassen.</w:t>
      </w:r>
    </w:p>
    <w:p>
      <w:pPr>
        <w:numPr>
          <w:ilvl w:val="0"/>
          <w:numId w:val="3"/>
        </w:numPr>
      </w:pPr>
      <w:r>
        <w:rPr/>
        <w:t xml:space="preserve">Lichtstrom: 3100 lm, Spezifischer Lichtstrom: 135 lm/W.</w:t>
      </w:r>
    </w:p>
    <w:p>
      <w:pPr>
        <w:numPr>
          <w:ilvl w:val="0"/>
          <w:numId w:val="3"/>
        </w:numPr>
      </w:pPr>
      <w:r>
        <w:rPr/>
        <w:t xml:space="preserve">Stromverbrauch: 23.0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überlegener Wartungsfaktor; nach 50.000 Brennstunden behält
die Leuchte 98% seines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
einer Leuchtdichte @ 65° 1000 Cd/m² cd/m² entsprechend der Norm EN
12464-1 für sehr hohe visuelle Anforderungen, z.B.
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EN 62471: RISK GROUP 1 UNLIMITED.</w:t>
      </w:r>
    </w:p>
    <w:p>
      <w:pPr>
        <w:numPr>
          <w:ilvl w:val="0"/>
          <w:numId w:val="3"/>
        </w:numPr>
      </w:pPr>
      <w:r>
        <w:rPr/>
        <w:t xml:space="preserve">Lackiertes stahlblech Gehäuse, RAL9006 - weißaluminium
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Driver.</w:t>
      </w:r>
    </w:p>
    <w:p>
      <w:pPr>
        <w:numPr>
          <w:ilvl w:val="0"/>
          <w:numId w:val="3"/>
        </w:numPr>
      </w:pPr>
      <w:r>
        <w:rPr/>
        <w:t xml:space="preserve">Zertifizierungen: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
entwickelt und produziert, das ISO 9001 und ISO 14001 zertifiziert
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F023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2021-01-20T13:56:37+01:00</dcterms:created>
  <dcterms:modified xsi:type="dcterms:W3CDTF">2021-01-20T13:56:37+01:00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