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R710R1/LEDW1820DX2</w:t>
      </w:r>
    </w:p>
    <w:p/>
    <w:p>
      <w:pPr>
        <w:numPr>
          <w:ilvl w:val="0"/>
          <w:numId w:val="3"/>
        </w:numPr>
      </w:pPr>
      <w:r>
        <w:rPr/>
        <w:t xml:space="preserve">Linear luminária de montagem saliente, LED+LENS™ optics,
policarbonato (PC) lente e refletor, extensiva média distribuição
luminosa.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
Led&amp;#039;s inseridos em lentes circulares.</w:t>
      </w:r>
    </w:p>
    <w:p>
      <w:pPr>
        <w:numPr>
          <w:ilvl w:val="0"/>
          <w:numId w:val="3"/>
        </w:numPr>
      </w:pPr>
      <w:r>
        <w:rPr/>
        <w:t xml:space="preserve">LED+LENS™, uma combinação de LED&amp;#039;s de alta potência e
lentes individuais com uma estrutura de superfície patenteada. As
lentes são encastradas em pequenas lentes para uma experiência de
luz confortável.</w:t>
      </w:r>
    </w:p>
    <w:p>
      <w:pPr>
        <w:numPr>
          <w:ilvl w:val="0"/>
          <w:numId w:val="3"/>
        </w:numPr>
      </w:pPr>
      <w:r>
        <w:rPr/>
        <w:t xml:space="preserve">Fluxo luminoso: 2250 lm, Fluxo luminoso específico: 118 lm/W.</w:t>
      </w:r>
    </w:p>
    <w:p>
      <w:pPr>
        <w:numPr>
          <w:ilvl w:val="0"/>
          <w:numId w:val="3"/>
        </w:numPr>
      </w:pPr>
      <w:r>
        <w:rPr/>
        <w:t xml:space="preserve">Consumo de corrente: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factor de depreciação superior; após 50000 horas de
funcionamento, a fixação mantém 98% da sua corrente fluxo luminiso.
 Temperatura de cor correlacionada: 3000 K, Reprodução das cores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
&lt;= 16 e luminâncias @ @ 65° 1000 Cd/m² cd/m² estão em
conformidade com a norma EN 12464-1 para exigências visuais muito
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Aço lacada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
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A84AA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2021-01-20T16:03:29+01:00</dcterms:created>
  <dcterms:modified xsi:type="dcterms:W3CDTF">2021-01-20T16:03:29+01:00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