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R710R1/LEDW1820SX1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Anbau 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mittelbreit strahlend Lichtverteilung.</w:t>
      </w:r>
    </w:p>
    <w:p>
      <w:pPr>
        <w:numPr>
          <w:ilvl w:val="0"/>
          <w:numId w:val="3"/>
        </w:numPr>
      </w:pPr>
      <w:r>
        <w:rPr/>
        <w:t xml:space="preserve">Gehäuse mit einer sichtbaren Höhe von 15 mm und nahtlosen geraden Ecken. 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1500 mm x 75 mm x 50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2350 lm, Spezifischer Lichtstrom: 124 lm/W.</w:t>
      </w:r>
    </w:p>
    <w:p>
      <w:pPr>
        <w:numPr>
          <w:ilvl w:val="0"/>
          <w:numId w:val="3"/>
        </w:numPr>
      </w:pPr>
      <w:r>
        <w:rPr/>
        <w:t xml:space="preserve">Anschlussleistung: 19.0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16 und einer Leuchtdichte @ 65° 1000 Cd/m² cd/m² entsprechend der Norm EN 12464-1 für sehr hohe visuelle Anforderungen, z.B. Qualitätskontrollen, Präzisionsaufgaben.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B788B8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2025-03-02T19:11:31+01:00</dcterms:created>
  <dcterms:modified xsi:type="dcterms:W3CDTF">2025-03-02T19:11:31+01:00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