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130 lm/W.</w:t>
      </w:r>
    </w:p>
    <w:p>
      <w:pPr>
        <w:numPr>
          <w:ilvl w:val="0"/>
          <w:numId w:val="3"/>
        </w:numPr>
      </w:pPr>
      <w:r>
        <w:rPr/>
        <w:t xml:space="preserve">Stromverbrauch: 20.0 W, DALI mit Tageslichtsensor ELS.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262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2022-10-10T09:08:33+02:00</dcterms:created>
  <dcterms:modified xsi:type="dcterms:W3CDTF">2022-10-10T09:08:33+02:00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