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Ytmonterade och pendlade LED+LENS-armaturer.</w:t>
      </w:r>
    </w:p>
    <w:p>
      <w:pPr>
        <w:numPr>
          <w:ilvl w:val="0"/>
          <w:numId w:val="3"/>
        </w:numPr>
      </w:pPr>
      <w:r>
        <w:rPr/>
        <w:t xml:space="preserve">LED+LENS™ optik, polycarbonate 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 skarvar. Försänkta linser.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3150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25.0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 luminanser vid @ 65° 1000 Cd/m² cd/m² enligt SS-EN 12464-1 för mycket höga visuella krav.</w:t>
      </w:r>
    </w:p>
    <w:p>
      <w:pPr>
        <w:numPr>
          <w:ilvl w:val="0"/>
          <w:numId w:val="3"/>
        </w:numPr>
      </w:pPr>
      <w:r>
        <w:rPr/>
        <w:t xml:space="preserve">Lackad stålplåt armaturhus, RAL9003 -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1C5028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2023-04-02T22:26:22+02:00</dcterms:created>
  <dcterms:modified xsi:type="dcterms:W3CDTF">2023-04-02T22:26:22+02:00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