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R711R1/LEDN2435DX1</w:t>
      </w:r>
    </w:p>
    <w:p/>
    <w:p>
      <w:pPr/>
      <w:r>
        <w:pict>
          <v:shape type="#_x0000_t75" style="width:250pt; height:205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LED+LENS en saillie ou suspendu.</w:t>
      </w:r>
    </w:p>
    <w:p>
      <w:pPr>
        <w:numPr>
          <w:ilvl w:val="0"/>
          <w:numId w:val="3"/>
        </w:numPr>
      </w:pPr>
      <w:r>
        <w:rPr/>
        <w:t xml:space="preserve">Led+lens™ , optique lentilles et coupelles en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Structure aux angles droits sans soudure , hauteur visible 15mm. Leds intégrées dans une lentille ronde.</w:t>
      </w:r>
    </w:p>
    <w:p>
      <w:pPr>
        <w:numPr>
          <w:ilvl w:val="0"/>
          <w:numId w:val="3"/>
        </w:numPr>
      </w:pPr>
      <w:r>
        <w:rPr/>
        <w:t xml:space="preserve">Dimensions: 1500 mm x 150 mm x 50 mm.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3600 lm, Efficacité lumineuse: 133 lm/W.</w:t>
      </w:r>
    </w:p>
    <w:p>
      <w:pPr>
        <w:numPr>
          <w:ilvl w:val="0"/>
          <w:numId w:val="3"/>
        </w:numPr>
      </w:pPr>
      <w:r>
        <w:rPr/>
        <w:t xml:space="preserve">Consommation de courant: 27.0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pour une distribution lumineuse sans éblouissement avec UGR &lt;= {{object.ugrClass} et luminances @ 65° {{object.luminanceClass}} cd/m² conforme à la norme EN 12464-1 pour des exigences visuelles très élevées, z.g. contrôle qualité, tâche de précision.</w:t>
      </w:r>
    </w:p>
    <w:p>
      <w:pPr>
        <w:numPr>
          <w:ilvl w:val="0"/>
          <w:numId w:val="3"/>
        </w:numPr>
      </w:pPr>
      <w:r>
        <w:rPr/>
        <w:t xml:space="preserve">Caisson: tôle d'acier laquée, 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>
      <w:pPr>
        <w:numPr>
          <w:ilvl w:val="0"/>
          <w:numId w:val="3"/>
        </w:numPr>
      </w:pPr>
      <w:r>
        <w:rPr/>
        <w:t xml:space="preserve">Accessoires nécessaires au montage, choix parmi 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7663C6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2023-10-05T12:21:43+02:00</dcterms:created>
  <dcterms:modified xsi:type="dcterms:W3CDTF">2023-10-05T12:21:43+02:00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