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R711R1/LEDN3650SX1</w:t>
      </w:r>
    </w:p>
    <w:p/>
    <w:p>
      <w:pPr/>
      <w:r>
        <w:pict>
          <v:shape type="#_x0000_t75" style="width:250pt; height:20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Luminarias LED+LENS suspendidas.</w:t>
      </w:r>
    </w:p>
    <w:p>
      <w:pPr>
        <w:numPr>
          <w:ilvl w:val="0"/>
          <w:numId w:val="3"/>
        </w:numPr>
      </w:pPr>
      <w:r>
        <w:rPr/>
        <w:t xml:space="preserve">LED+LENS™ óptica, lente y reflector de policarbonato (PC), extensiva media distribución luminosa.</w:t>
      </w:r>
    </w:p>
    <w:p>
      <w:pPr>
        <w:numPr>
          <w:ilvl w:val="0"/>
          <w:numId w:val="3"/>
        </w:numPr>
      </w:pPr>
      <w:r>
        <w:rPr/>
        <w:t xml:space="preserve">Carcasa con una altura visible de 15 mm y esquinas rectas sin uniones. Lentes integradas en cápsulas circulares.</w:t>
      </w:r>
    </w:p>
    <w:p>
      <w:pPr>
        <w:numPr>
          <w:ilvl w:val="0"/>
          <w:numId w:val="3"/>
        </w:numPr>
      </w:pPr>
      <w:r>
        <w:rPr/>
        <w:t xml:space="preserve">Dimensiones: 1500 mm x 150 mm x 50 mm.</w:t>
      </w:r>
    </w:p>
    <w:p>
      <w:pPr>
        <w:numPr>
          <w:ilvl w:val="0"/>
          <w:numId w:val="3"/>
        </w:numPr>
      </w:pPr>
      <w:r>
        <w:rPr/>
        <w:t xml:space="preserve">lineal individual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5100 lm, Flujo luminoso específico: 142 lm/W.</w:t>
      </w:r>
    </w:p>
    <w:p>
      <w:pPr>
        <w:numPr>
          <w:ilvl w:val="0"/>
          <w:numId w:val="3"/>
        </w:numPr>
      </w:pPr>
      <w:r>
        <w:rPr/>
        <w:t xml:space="preserve">Consumo de energía: 36.0 W, no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98%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LED+LENS™ para distribución de luz sin deslumbramiento con UGR &lt;= 16 y luminancias @ 65° 1000 Cd/m² cd/m² conforme a la norma EN 12464-1 para exigencia visual muy elevada, p. ej. control de calidad, tarea de precisión.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D.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981E6C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2025-03-02T19:11:52+01:00</dcterms:created>
  <dcterms:modified xsi:type="dcterms:W3CDTF">2025-03-02T19:11:52+01:00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