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R731R1/LEDN3650SX1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Luminarias LED+LENS suspendidas.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extrema distribución luminosa.</w:t>
      </w:r>
    </w:p>
    <w:p>
      <w:pPr>
        <w:numPr>
          <w:ilvl w:val="0"/>
          <w:numId w:val="3"/>
        </w:numPr>
      </w:pPr>
      <w:r>
        <w:rPr/>
        <w:t xml:space="preserve">Carcasa con una altura visible de 15 mm y esquinas rectas sin uniones. 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1500 mm x 150 mm x 50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5100 lm, Flujo luminoso específico: 142 lm/W.</w:t>
      </w:r>
    </w:p>
    <w:p>
      <w:pPr>
        <w:numPr>
          <w:ilvl w:val="0"/>
          <w:numId w:val="3"/>
        </w:numPr>
      </w:pPr>
      <w:r>
        <w:rPr/>
        <w:t xml:space="preserve">Consumo de energía: 36.0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16 y luminancias @ 65° 1500 Cd/m² cd/m² conforme a la norma EN 12464-1 para exigencia visual muy elevada,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D.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B67D9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2025-03-02T19:17:36+01:00</dcterms:created>
  <dcterms:modified xsi:type="dcterms:W3CDTF">2025-03-02T19:17:36+01:00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