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de difusor de montagem saliente e suspensa.</w:t>
      </w:r>
    </w:p>
    <w:p>
      <w:pPr>
        <w:numPr>
          <w:ilvl w:val="0"/>
          <w:numId w:val="3"/>
        </w:numPr>
      </w:pPr>
      <w:r>
        <w:rPr/>
        <w:t xml:space="preserve">HaloOptics 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80 mm de diâmetro, extremidades brancas, pode ser montado em linha com o acessório de união opcional.</w:t>
      </w:r>
    </w:p>
    <w:p>
      <w:pPr>
        <w:numPr>
          <w:ilvl w:val="0"/>
          <w:numId w:val="3"/>
        </w:numPr>
      </w:pPr>
      <w:r>
        <w:rPr/>
        <w:t xml:space="preserve">Dimensões: 1542 mm x 80 mm x 121 mm.</w:t>
      </w:r>
    </w:p>
    <w:p>
      <w:pPr>
        <w:numPr>
          <w:ilvl w:val="0"/>
          <w:numId w:val="3"/>
        </w:numPr>
      </w:pPr>
      <w:r>
        <w:rPr/>
        <w:t xml:space="preserve">Difusor tubular HaloOptics™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47.0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F3DC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2025-04-22T18:46:40+02:00</dcterms:created>
  <dcterms:modified xsi:type="dcterms:W3CDTF">2025-04-22T18:46:40+02:00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