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U23F8/LEDN35D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Flachdiffusor, niedrige Einbauhöhe.</w:t>
      </w:r>
    </w:p>
    <w:p>
      <w:pPr>
        <w:numPr>
          <w:ilvl w:val="0"/>
          <w:numId w:val="3"/>
        </w:numPr>
      </w:pPr>
      <w:r>
        <w:rPr/>
        <w:t xml:space="preserve">Diffusor Optik, opales Acryl (PMMA), breit strahlend Lichtverteilung.</w:t>
      </w:r>
    </w:p>
    <w:p>
      <w:pPr>
        <w:numPr>
          <w:ilvl w:val="0"/>
          <w:numId w:val="3"/>
        </w:numPr>
      </w:pPr>
      <w:r>
        <w:rPr/>
        <w:t xml:space="preserve">Niedrige Einbauhöhe.</w:t>
      </w:r>
    </w:p>
    <w:p>
      <w:pPr>
        <w:numPr>
          <w:ilvl w:val="0"/>
          <w:numId w:val="3"/>
        </w:numPr>
      </w:pPr>
      <w:r>
        <w:rPr/>
        <w:t xml:space="preserve">Abmessungen: 621 mm x 621 mm x 14 mm.</w:t>
      </w:r>
    </w:p>
    <w:p>
      <w:pPr>
        <w:numPr>
          <w:ilvl w:val="0"/>
          <w:numId w:val="3"/>
        </w:numPr>
      </w:pPr>
      <w:r>
        <w:rPr/>
        <w:t xml:space="preserve">M625 quadratisch,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Flachdiffusor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3600 lm, Spezifischer Lichtstrom: 124 lm/W.</w:t>
      </w:r>
    </w:p>
    <w:p>
      <w:pPr>
        <w:numPr>
          <w:ilvl w:val="0"/>
          <w:numId w:val="3"/>
        </w:numPr>
      </w:pPr>
      <w:r>
        <w:rPr/>
        <w:t xml:space="preserve">Stromverbrauch: 29.0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87%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Lackiertes stahlblech Gehäuse, RAL9016 - Verkehrsweiß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IK06.</w:t>
      </w:r>
    </w:p>
    <w:p>
      <w:pPr>
        <w:numPr>
          <w:ilvl w:val="0"/>
          <w:numId w:val="3"/>
        </w:numPr>
      </w:pPr>
      <w:r>
        <w:rPr/>
        <w:t xml:space="preserve">Unterseite konform IP: Unterseite konform IP40.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B5B8B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2023-04-20T11:55:59+02:00</dcterms:created>
  <dcterms:modified xsi:type="dcterms:W3CDTF">2023-04-20T11:55:59+02:00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