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är en infälld diffusorplatta</w:t>
      </w:r>
    </w:p>
    <w:p>
      <w:pPr>
        <w:numPr>
          <w:ilvl w:val="0"/>
          <w:numId w:val="3"/>
        </w:numPr>
      </w:pPr>
      <w:r>
        <w:rPr/>
        <w:t xml:space="preserve">diffusor optik, acrylatmikroprisma (PMMA) med diffusorfolie, bredstrålande ljusfördelning.</w:t>
      </w:r>
    </w:p>
    <w:p>
      <w:pPr>
        <w:numPr>
          <w:ilvl w:val="0"/>
          <w:numId w:val="3"/>
        </w:numPr>
      </w:pPr>
      <w:r>
        <w:rPr/>
        <w:t xml:space="preserve">Tunn armatur.</w:t>
      </w:r>
    </w:p>
    <w:p>
      <w:pPr>
        <w:numPr>
          <w:ilvl w:val="0"/>
          <w:numId w:val="3"/>
        </w:numPr>
      </w:pPr>
      <w:r>
        <w:rPr/>
        <w:t xml:space="preserve">Dimensioner: 1195 mm x 295 mm x 25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3300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29.0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IP underifrån: IP44 underifrån.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62A1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2025-03-12T13:15:27+01:00</dcterms:created>
  <dcterms:modified xsi:type="dcterms:W3CDTF">2025-03-12T13:15:27+01:00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