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1195 mm x 295 mm x 22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119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63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