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is a recessed diffuser flatpanel</w:t>
      </w:r>
    </w:p>
    <w:p>
      <w:pPr>
        <w:numPr>
          <w:ilvl w:val="0"/>
          <w:numId w:val="3"/>
        </w:numPr>
      </w:pPr>
      <w:r>
        <w:rPr/>
        <w:t xml:space="preserve">Diffuser optics, acrylic (PMMA) microprism with diffuser foil, wide-angle light distribution.</w:t>
      </w:r>
    </w:p>
    <w:p>
      <w:pPr>
        <w:numPr>
          <w:ilvl w:val="0"/>
          <w:numId w:val="3"/>
        </w:numPr>
      </w:pPr>
      <w:r>
        <w:rPr/>
        <w:t xml:space="preserve">Low recessed height.</w:t>
      </w:r>
    </w:p>
    <w:p>
      <w:pPr>
        <w:numPr>
          <w:ilvl w:val="0"/>
          <w:numId w:val="3"/>
        </w:numPr>
      </w:pPr>
      <w:r>
        <w:rPr/>
        <w:t xml:space="preserve">Dimensions: 595 mm x 595 mm x 22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3400 lm, Luminous efficacy: 126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F77A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2025-03-12T13:15:19+01:00</dcterms:created>
  <dcterms:modified xsi:type="dcterms:W3CDTF">2025-03-12T13:15:19+01:00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