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U25M1/LEDN25S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Panel difusor plano, de alto rendimiento.</w:t>
      </w:r>
    </w:p>
    <w:p>
      <w:pPr>
        <w:numPr>
          <w:ilvl w:val="0"/>
          <w:numId w:val="3"/>
        </w:numPr>
      </w:pPr>
      <w:r>
        <w:rPr/>
        <w:t xml:space="preserve">MesoOptics difusor óptica, vidrio transparente con película difusora, extensiva distribución luminosa.</w:t>
      </w:r>
    </w:p>
    <w:p>
      <w:pPr>
        <w:numPr>
          <w:ilvl w:val="0"/>
          <w:numId w:val="3"/>
        </w:numPr>
      </w:pPr>
      <w:r>
        <w:rPr/>
        <w:t xml:space="preserve">Alto rendimiento con elevado flujo y eficiencia.</w:t>
      </w:r>
    </w:p>
    <w:p>
      <w:pPr>
        <w:numPr>
          <w:ilvl w:val="0"/>
          <w:numId w:val="3"/>
        </w:numPr>
      </w:pPr>
      <w:r>
        <w:rPr/>
        <w:t xml:space="preserve">Dimensiones: 1196 mm x 296 mm x 85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con lámina MesoOptics™ sobre una capa de vidrio transparente para una iluminación brillante y uniforme con grandes interdistancias.</w:t>
      </w:r>
    </w:p>
    <w:p>
      <w:pPr>
        <w:numPr>
          <w:ilvl w:val="0"/>
          <w:numId w:val="3"/>
        </w:numPr>
      </w:pPr>
      <w:r>
        <w:rPr/>
        <w:t xml:space="preserve">Flujo luminoso: 2750 lm, Flujo luminoso específico: 138 lm/W.</w:t>
      </w:r>
    </w:p>
    <w:p>
      <w:pPr>
        <w:numPr>
          <w:ilvl w:val="0"/>
          <w:numId w:val="3"/>
        </w:numPr>
      </w:pPr>
      <w:r>
        <w:rPr/>
        <w:t xml:space="preserve">Consumo de energía: 20.0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blanco especular.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IP40 en la parte inferior.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42CEB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2022-12-07T11:48:59+01:00</dcterms:created>
  <dcterms:modified xsi:type="dcterms:W3CDTF">2022-12-07T11:48:59+01:00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