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U25M1/LEDN40DE</w:t>
      </w:r>
    </w:p>
    <w:p/>
    <w:p>
      <w:pPr>
        <w:numPr>
          <w:ilvl w:val="0"/>
          <w:numId w:val="3"/>
        </w:numPr>
      </w:pPr>
      <w:r>
        <w:rPr/>
        <w:t xml:space="preserve">Rectangular luminaria empotrada, MesoOptics Difusor óptica, vidrio
transparente con película difusora, extensiva media distribución
luminosa.</w:t>
      </w:r>
    </w:p>
    <w:p>
      <w:pPr>
        <w:numPr>
          <w:ilvl w:val="0"/>
          <w:numId w:val="3"/>
        </w:numPr>
      </w:pPr>
      <w:r>
        <w:rPr/>
        <w:t xml:space="preserve">Dimensiones: 1196 mm x 296 mm x 85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
con sistema de perfil visible.</w:t>
      </w:r>
    </w:p>
    <w:p>
      <w:pPr>
        <w:numPr>
          <w:ilvl w:val="0"/>
          <w:numId w:val="3"/>
        </w:numPr>
      </w:pPr>
      <w:r>
        <w:rPr/>
        <w:t xml:space="preserve">Panel difusor plano, de alto rendimiento con elevado flujo y
eficiencia.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
transparente para una iluminación brillante y uniforme con grandes
interdistancias.</w:t>
      </w:r>
    </w:p>
    <w:p>
      <w:pPr>
        <w:numPr>
          <w:ilvl w:val="0"/>
          <w:numId w:val="3"/>
        </w:numPr>
      </w:pPr>
      <w:r>
        <w:rPr/>
        <w:t xml:space="preserve">Flujo luminoso: 3950 lm, Flujo luminoso específico: 146 lm/W.</w:t>
      </w:r>
    </w:p>
    <w:p>
      <w:pPr>
        <w:numPr>
          <w:ilvl w:val="0"/>
          <w:numId w:val="3"/>
        </w:numPr>
      </w:pPr>
      <w:r>
        <w:rPr/>
        <w:t xml:space="preserve">Consumo de energía: 27.0 W, DALI regulable, con sensor de luz
natural ELS.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
funcionamiento, el aparato conserva el 99% de su corriente de fluxo
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
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Difusor para distribución de luz sin deslumbramiento con UGR &lt;= 19 y
luminancias @ 65° cd/m² conforme a la norma EN 12464-1 para
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750°C.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FCA2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2021-01-21T10:41:26+01:00</dcterms:created>
  <dcterms:modified xsi:type="dcterms:W3CDTF">2021-01-21T10:41:26+01:00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