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Hochleistungs-Flachdiffusor.</w:t>
      </w:r>
    </w:p>
    <w:p>
      <w:pPr>
        <w:numPr>
          <w:ilvl w:val="0"/>
          <w:numId w:val="3"/>
        </w:numPr>
      </w:pPr>
      <w:r>
        <w:rPr/>
        <w:t xml:space="preserve">MesoOptics Folie Optik, Klarglas mit Diffusorfolie, breit strahlend Lichtverteilung.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Abmessungen: 596 mm x 596 mm x 85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Flachdiffusor mit MesoOptics™-Folie auf einer klaren Glasplatte für eine gleichmäßige Beleuchtung mit großen Zwischenabständen.</w:t>
      </w:r>
    </w:p>
    <w:p>
      <w:pPr>
        <w:numPr>
          <w:ilvl w:val="0"/>
          <w:numId w:val="3"/>
        </w:numPr>
      </w:pPr>
      <w:r>
        <w:rPr/>
        <w:t xml:space="preserve">Lichtstrom: 2900 lm, Spezifischer Lichtstrom: 153 lm/W.</w:t>
      </w:r>
    </w:p>
    <w:p>
      <w:pPr>
        <w:numPr>
          <w:ilvl w:val="0"/>
          <w:numId w:val="3"/>
        </w:numPr>
      </w:pPr>
      <w:r>
        <w:rPr/>
        <w:t xml:space="preserve">Stromverbrauch: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 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0 UNLIMITED.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Unterseite konform IP40.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6012B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2022-12-07T11:48:11+01:00</dcterms:created>
  <dcterms:modified xsi:type="dcterms:W3CDTF">2022-12-07T11:48:11+01:00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