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U2B-M110-MI-830-045D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Diffuseur puit de lumière haute performance.</w:t>
      </w:r>
    </w:p>
    <w:p>
      <w:pPr>
        <w:numPr>
          <w:ilvl w:val="0"/>
          <w:numId w:val="3"/>
        </w:numPr>
      </w:pPr>
      <w:r>
        <w:rPr/>
        <w:t xml:space="preserve">Diffuseur micro-optique , optique acrylique (PMMA) opalin, distribution lumineuse feuille de déglamation diffuse et optique .</w:t>
      </w:r>
    </w:p>
    <w:p>
      <w:pPr>
        <w:numPr>
          <w:ilvl w:val="0"/>
          <w:numId w:val="3"/>
        </w:numPr>
      </w:pPr>
      <w:r>
        <w:rPr/>
        <w:t xml:space="preserve">Flux lumineux et efficacité elevés.</w:t>
      </w:r>
    </w:p>
    <w:p>
      <w:pPr>
        <w:numPr>
          <w:ilvl w:val="0"/>
          <w:numId w:val="3"/>
        </w:numPr>
      </w:pPr>
      <w:r>
        <w:rPr/>
        <w:t xml:space="preserve">Dimensions: 1195 mm x 295 mm x 77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Luminaires LEDs avec un diffuseur plat et un film Micro-optique posé sur une plaque de verre transparent pour un éclairage très confortable, optimisée permettant de grandes interdistances.</w:t>
      </w:r>
    </w:p>
    <w:p>
      <w:pPr>
        <w:numPr>
          <w:ilvl w:val="0"/>
          <w:numId w:val="3"/>
        </w:numPr>
      </w:pPr>
      <w:r>
        <w:rPr/>
        <w:t xml:space="preserve">Flux lumineux: 4500 lm, Efficacité lumineuse: 139 lm/W.</w:t>
      </w:r>
    </w:p>
    <w:p>
      <w:pPr>
        <w:numPr>
          <w:ilvl w:val="0"/>
          <w:numId w:val="3"/>
        </w:numPr>
      </w:pPr>
      <w:r>
        <w:rPr/>
        <w:t xml:space="preserve">Consommation de courant: 32.5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95%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IP20/IP40.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Appareil&amp;nbsp;de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EF9B5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2024-04-19T10:58:01+02:00</dcterms:created>
  <dcterms:modified xsi:type="dcterms:W3CDTF">2024-04-19T10:58:01+02:00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