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U2B-M110-MI-840-025D</w:t>
      </w:r>
    </w:p>
    <w:p/>
    <w:p>
      <w:pPr/>
      <w:r>
        <w:pict>
          <v:shape type="#_x0000_t75" style="width:250pt; height:156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Panel difusor plano, de alto rendimiento.</w:t>
      </w:r>
    </w:p>
    <w:p>
      <w:pPr>
        <w:numPr>
          <w:ilvl w:val="0"/>
          <w:numId w:val="3"/>
        </w:numPr>
      </w:pPr>
      <w:r>
        <w:rPr/>
        <w:t xml:space="preserve">Micro-óptica difusor óptica, acrílico (PMMA) opalescente, foil de desgarro óptico y difuso distribución luminosa.</w:t>
      </w:r>
    </w:p>
    <w:p>
      <w:pPr>
        <w:numPr>
          <w:ilvl w:val="0"/>
          <w:numId w:val="3"/>
        </w:numPr>
      </w:pPr>
      <w:r>
        <w:rPr/>
        <w:t xml:space="preserve">Alto rendimiento con elevado flujo y eficiencia.</w:t>
      </w:r>
    </w:p>
    <w:p>
      <w:pPr>
        <w:numPr>
          <w:ilvl w:val="0"/>
          <w:numId w:val="3"/>
        </w:numPr>
      </w:pPr>
      <w:r>
        <w:rPr/>
        <w:t xml:space="preserve">Dimensiones: 1195 mm x 295 mm x 77 mm.</w:t>
      </w:r>
    </w:p>
    <w:p>
      <w:pPr>
        <w:numPr>
          <w:ilvl w:val="0"/>
          <w:numId w:val="3"/>
        </w:numPr>
      </w:pPr>
      <w:r>
        <w:rPr/>
        <w:t xml:space="preserve">M300, instalación como luminaria de empotrar para techos modulares con sistema de perfil visible.</w:t>
      </w:r>
    </w:p>
    <w:p>
      <w:pPr>
        <w:numPr>
          <w:ilvl w:val="0"/>
          <w:numId w:val="3"/>
        </w:numPr>
      </w:pPr>
      <w:r>
        <w:rPr/>
        <w:t xml:space="preserve">Difusor plano con lámina Micro-óptica sobre una capa de vidrio transparente para una iluminación brillante y uniforme con grandes interdistancias.</w:t>
      </w:r>
    </w:p>
    <w:p>
      <w:pPr>
        <w:numPr>
          <w:ilvl w:val="0"/>
          <w:numId w:val="3"/>
        </w:numPr>
      </w:pPr>
      <w:r>
        <w:rPr/>
        <w:t xml:space="preserve">Flujo luminoso: 2500 lm, Flujo luminoso específico: 147 lm/W.</w:t>
      </w:r>
    </w:p>
    <w:p>
      <w:pPr>
        <w:numPr>
          <w:ilvl w:val="0"/>
          <w:numId w:val="3"/>
        </w:numPr>
      </w:pPr>
      <w:r>
        <w:rPr/>
        <w:t xml:space="preserve">Consumo de energía: 17.0 W, DALI regulable.</w:t>
      </w:r>
    </w:p>
    <w:p>
      <w:pPr>
        <w:numPr>
          <w:ilvl w:val="0"/>
          <w:numId w:val="3"/>
        </w:numPr>
      </w:pPr>
      <w:r>
        <w:rPr/>
        <w:t xml:space="preserve">Frecuencia: 50-60Hz AC/DC.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95%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4000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Seguridad fotobiológic EN 62471: RISK GROUP 0 UNLIMITED.</w:t>
      </w:r>
    </w:p>
    <w:p>
      <w:pPr>
        <w:numPr>
          <w:ilvl w:val="0"/>
          <w:numId w:val="3"/>
        </w:numPr>
      </w:pPr>
      <w:r>
        <w:rPr/>
        <w:t xml:space="preserve">Chapa de acero lacado carcasa, RAL9003 - blanco señales.</w:t>
      </w:r>
    </w:p>
    <w:p>
      <w:pPr>
        <w:numPr>
          <w:ilvl w:val="0"/>
          <w:numId w:val="3"/>
        </w:numPr>
      </w:pPr>
      <w:r>
        <w:rPr/>
        <w:t xml:space="preserve">Grado de protección IP: IP20/IP40.</w:t>
      </w:r>
    </w:p>
    <w:p>
      <w:pPr>
        <w:numPr>
          <w:ilvl w:val="0"/>
          <w:numId w:val="3"/>
        </w:numPr>
      </w:pPr>
      <w:r>
        <w:rPr/>
        <w:t xml:space="preserve">Grado de protección IK: IK03.</w:t>
      </w:r>
    </w:p>
    <w:p>
      <w:pPr>
        <w:numPr>
          <w:ilvl w:val="0"/>
          <w:numId w:val="3"/>
        </w:numPr>
      </w:pPr>
      <w:r>
        <w:rPr/>
        <w:t xml:space="preserve">Comprobación del filamento: 650°C.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BDADF4B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2024-04-19T11:00:45+02:00</dcterms:created>
  <dcterms:modified xsi:type="dcterms:W3CDTF">2024-04-19T11:00:45+02:00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