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U2B-M210-MI-830-045D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Hochleistungs-Flachdiffusor.</w:t>
      </w:r>
    </w:p>
    <w:p>
      <w:pPr>
        <w:numPr>
          <w:ilvl w:val="0"/>
          <w:numId w:val="3"/>
        </w:numPr>
      </w:pPr>
      <w:r>
        <w:rPr/>
        <w:t xml:space="preserve">Micro-optische Folie Optik, opales Acryl (PMMA), breit strahlend Lichtverteilung.</w:t>
      </w:r>
    </w:p>
    <w:p>
      <w:pPr>
        <w:numPr>
          <w:ilvl w:val="0"/>
          <w:numId w:val="3"/>
        </w:numPr>
      </w:pPr>
      <w:r>
        <w:rPr/>
        <w:t xml:space="preserve">Hohem Lichtstrom und hoher Effizienz.</w:t>
      </w:r>
    </w:p>
    <w:p>
      <w:pPr>
        <w:numPr>
          <w:ilvl w:val="0"/>
          <w:numId w:val="3"/>
        </w:numPr>
      </w:pPr>
      <w:r>
        <w:rPr/>
        <w:t xml:space="preserve">Abmessungen: 595 mm x 595 mm x 77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mit Micro-optische Folie auf einer klaren Glasplatte für eine gleichmäßige Beleuchtung mit großen Zwischenabständen.</w:t>
      </w:r>
    </w:p>
    <w:p>
      <w:pPr>
        <w:numPr>
          <w:ilvl w:val="0"/>
          <w:numId w:val="3"/>
        </w:numPr>
      </w:pPr>
      <w:r>
        <w:rPr/>
        <w:t xml:space="preserve">Lichtstrom: 4500 lm, Spezifischer Lichtstrom: 141 lm/W.</w:t>
      </w:r>
    </w:p>
    <w:p>
      <w:pPr>
        <w:numPr>
          <w:ilvl w:val="0"/>
          <w:numId w:val="3"/>
        </w:numPr>
      </w:pPr>
      <w:r>
        <w:rPr/>
        <w:t xml:space="preserve">Anschlussleistung: 32.0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IP20/IP40.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EA35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2023-06-28T15:02:51+02:00</dcterms:created>
  <dcterms:modified xsi:type="dcterms:W3CDTF">2023-06-28T15:02:51+02:00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