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U2B-M210-MI-830-055S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Painel de difusor plano de alto desempenho.</w:t>
      </w:r>
    </w:p>
    <w:p>
      <w:pPr>
        <w:numPr>
          <w:ilvl w:val="0"/>
          <w:numId w:val="3"/>
        </w:numPr>
      </w:pPr>
      <w:r>
        <w:rPr/>
        <w:t xml:space="preserve">Micro-óptica difusor optics, acrílico (PMMA) opalino, folha de deglaring difusa e óptica distribuição luminosa.</w:t>
      </w:r>
    </w:p>
    <w:p>
      <w:pPr>
        <w:numPr>
          <w:ilvl w:val="0"/>
          <w:numId w:val="3"/>
        </w:numPr>
      </w:pPr>
      <w:r>
        <w:rPr/>
        <w:t xml:space="preserve">Alto fluxo luminoso e eficiência.</w:t>
      </w:r>
    </w:p>
    <w:p>
      <w:pPr>
        <w:numPr>
          <w:ilvl w:val="0"/>
          <w:numId w:val="3"/>
        </w:numPr>
      </w:pPr>
      <w:r>
        <w:rPr/>
        <w:t xml:space="preserve">Dimensões: 595 mm x 595 mm x 77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com uma folha MesoOptics™ sobre um difusor de vidro transparente para uma iluminação brilhante e uniforme com grandes interdistâncias.</w:t>
      </w:r>
    </w:p>
    <w:p>
      <w:pPr>
        <w:numPr>
          <w:ilvl w:val="0"/>
          <w:numId w:val="3"/>
        </w:numPr>
      </w:pPr>
      <w:r>
        <w:rPr/>
        <w:t xml:space="preserve">Fluxo luminoso: 5500 lm, Fluxo luminoso específico: 138 lm/W.</w:t>
      </w:r>
    </w:p>
    <w:p>
      <w:pPr>
        <w:numPr>
          <w:ilvl w:val="0"/>
          <w:numId w:val="3"/>
        </w:numPr>
      </w:pPr>
      <w:r>
        <w:rPr/>
        <w:t xml:space="preserve">Potência: 40.0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IP20/IP40.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3D767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2024-04-24T08:11:43+02:00</dcterms:created>
  <dcterms:modified xsi:type="dcterms:W3CDTF">2024-04-24T08:11:43+02:00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