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U3111/LEDW430D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Luminaires encastrés avec optique Shielded Lens.</w:t>
      </w:r>
    </w:p>
    <w:p>
      <w:pPr>
        <w:numPr>
          <w:ilvl w:val="0"/>
          <w:numId w:val="3"/>
        </w:numPr>
      </w:pPr>
      <w:r>
        <w:rPr/>
        <w:t xml:space="preserve">Shielded lens , optique polycarbonate (PC) avec un fin film d’aluminium,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Unités de protection avec extrémités arrondies. Version OFC, optimisé pour le confort.</w:t>
      </w:r>
    </w:p>
    <w:p>
      <w:pPr>
        <w:numPr>
          <w:ilvl w:val="0"/>
          <w:numId w:val="3"/>
        </w:numPr>
      </w:pPr>
      <w:r>
        <w:rPr/>
        <w:t xml:space="preserve">Dimensions: 1196 mm x 296 mm x 58 mm.</w:t>
      </w:r>
    </w:p>
    <w:p>
      <w:pPr>
        <w:numPr>
          <w:ilvl w:val="0"/>
          <w:numId w:val="3"/>
        </w:numPr>
      </w:pPr>
      <w:r>
        <w:rPr/>
        <w:t xml:space="preserve">Modulation M300, installation sur plafond modulaire avec profils T visibles.</w:t>
      </w:r>
    </w:p>
    <w:p>
      <w:pPr>
        <w:numPr>
          <w:ilvl w:val="0"/>
          <w:numId w:val="3"/>
        </w:numPr>
      </w:pPr>
      <w:r>
        <w:rPr/>
        <w:t xml:space="preserve">Flux lumineux: 3000 lm, Efficacité lumineuse: 143 lm/W.</w:t>
      </w:r>
    </w:p>
    <w:p>
      <w:pPr>
        <w:numPr>
          <w:ilvl w:val="0"/>
          <w:numId w:val="3"/>
        </w:numPr>
      </w:pPr>
      <w:r>
        <w:rPr/>
        <w:t xml:space="preserve">Consommation de courant: 21.0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Lentille protégée pour une distribution lumineuse sans éblouissement avec UGR &lt;= {{object.ugrClass} et luminances @ 65° {{object.luminanceClass}} cd/m² conforme à la norme EN 12464-1 pour des exigences visuelles élevées, par ex. écran d'affichage, bureaux.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tôle d'acier laquée, 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061DF2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2023-04-02T22:53:51+02:00</dcterms:created>
  <dcterms:modified xsi:type="dcterms:W3CDTF">2023-04-02T22:53:51+02:00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