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1950 lm, Spezifischer Lichtstrom: 135 lm/W.</w:t>
      </w:r>
    </w:p>
    <w:p>
      <w:pPr>
        <w:numPr>
          <w:ilvl w:val="0"/>
          <w:numId w:val="3"/>
        </w:numPr>
      </w:pPr>
      <w:r>
        <w:rPr/>
        <w:t xml:space="preserve">Anschlussleistung: 14.5 W, nicht dimmbar.</w:t>
      </w:r>
    </w:p>
    <w:p>
      <w:pPr>
        <w:numPr>
          <w:ilvl w:val="0"/>
          <w:numId w:val="3"/>
        </w:numPr>
      </w:pPr>
      <w:r>
        <w:rPr/>
        <w:t xml:space="preserve">Frequenz: 50-60Hz AC/DC.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signalweiß (Strukturlack).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DEE6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2024-07-31T07:56:55+02:00</dcterms:created>
  <dcterms:modified xsi:type="dcterms:W3CDTF">2024-07-31T07:56:55+02:00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