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Inbouwarmatur met softlight-optiek .</w:t>
      </w:r>
    </w:p>
    <w:p>
      <w:pPr>
        <w:numPr>
          <w:ilvl w:val="0"/>
          <w:numId w:val="3"/>
        </w:numPr>
      </w:pPr>
      <w:r>
        <w:rPr/>
        <w:t xml:space="preserve">Softlight optiek, polycarbonaat (PC)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microprisma met gewelfde vorm en twee gebogen zijreflectoren, geen directe verblinding.</w:t>
      </w:r>
    </w:p>
    <w:p>
      <w:pPr>
        <w:numPr>
          <w:ilvl w:val="0"/>
          <w:numId w:val="3"/>
        </w:numPr>
      </w:pPr>
      <w:r>
        <w:rPr/>
        <w:t xml:space="preserve">Afmetingen: 595 mm x 595 mm x 120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3400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-.</w:t>
      </w:r>
    </w:p>
    <w:p>
      <w:pPr>
        <w:numPr>
          <w:ilvl w:val="0"/>
          <w:numId w:val="3"/>
        </w:numPr>
      </w:pPr>
      <w:r>
        <w:rPr/>
        <w:t xml:space="preserve">Gelakt plaatstaal met gesloten lampafscherming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IK02.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DD2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