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softlight .</w:t>
      </w:r>
    </w:p>
    <w:p>
      <w:pPr>
        <w:numPr>
          <w:ilvl w:val="0"/>
          <w:numId w:val="3"/>
        </w:numPr>
      </w:pPr>
      <w:r>
        <w:rPr/>
        <w:t xml:space="preserve">Softlight optics, microprisma de policarbonato (PC)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estrutura microprisma em forma arqueada e dois reflectores laterais em folha curvas, sem brilho directo.</w:t>
      </w:r>
    </w:p>
    <w:p>
      <w:pPr>
        <w:numPr>
          <w:ilvl w:val="0"/>
          <w:numId w:val="3"/>
        </w:numPr>
      </w:pPr>
      <w:r>
        <w:rPr/>
        <w:t xml:space="preserve">Dimensões: 595 mm x 595 mm x 120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3400 lm, Fluxo luminoso específico: 117 lm/W.</w:t>
      </w:r>
    </w:p>
    <w:p>
      <w:pPr>
        <w:numPr>
          <w:ilvl w:val="0"/>
          <w:numId w:val="3"/>
        </w:numPr>
      </w:pPr>
      <w:r>
        <w:rPr/>
        <w:t xml:space="preserve">Consumo de corrente: 29.0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 funcionamento, a fixação mantém 96% da sua corrente fluxo luminiso.</w:t>
      </w:r>
    </w:p>
    <w:p>
      <w:pPr>
        <w:numPr>
          <w:ilvl w:val="0"/>
          <w:numId w:val="3"/>
        </w:numPr>
      </w:pPr>
      <w:r>
        <w:rPr/>
        <w:t xml:space="preserve">Temperatura de cor correlacionada: 4000 K, Reprodução das cores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19 e luminâncias @ @ 65° 3000 Cd/m² cd/m² estão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Aço lacada com proteção fechada da lâmpada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4471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2022-02-17T15:11:45+01:00</dcterms:created>
  <dcterms:modified xsi:type="dcterms:W3CDTF">2022-02-17T15:11:45+01:00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