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US3140/LEDN20D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avec 100% en lumière indirecte .</w:t>
      </w:r>
    </w:p>
    <w:p>
      <w:pPr>
        <w:numPr>
          <w:ilvl w:val="0"/>
          <w:numId w:val="3"/>
        </w:numPr>
      </w:pPr>
      <w:r>
        <w:rPr/>
        <w:t xml:space="preserve">Softlight , optique protection de lampe pleine, distribution lumineuse extensive .</w:t>
      </w:r>
    </w:p>
    <w:p>
      <w:pPr>
        <w:numPr>
          <w:ilvl w:val="0"/>
          <w:numId w:val="3"/>
        </w:numPr>
      </w:pPr>
      <w:r>
        <w:rPr/>
        <w:t xml:space="preserve">Diffuseur microprismatique en double voûte, éclairage 100% indirect.</w:t>
      </w:r>
    </w:p>
    <w:p>
      <w:pPr>
        <w:numPr>
          <w:ilvl w:val="0"/>
          <w:numId w:val="3"/>
        </w:numPr>
      </w:pPr>
      <w:r>
        <w:rPr/>
        <w:t xml:space="preserve">Dimensions: 1195 mm x 295 mm x 95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La protectione de la source de lumière empêche la vue directe. la lumière est réfléchie par une optique secondaire permettant une valeur ergonomique supplémentaire et une distribution lumineuse uniforme et performante.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Softlight (lumière douce) pour une distribution lumineuse sans éblouissement avec UGR &lt;= 22 et luminances @ 65° cd/m²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4A1E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2025-03-02T21:44:22+01:00</dcterms:created>
  <dcterms:modified xsi:type="dcterms:W3CDTF">2025-03-02T21:44:22+01:00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