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US3140/LEDN35D</w:t>
      </w:r>
    </w:p>
    <w:p/>
    <w:p>
      <w:pPr/>
      <w:r>
        <w:pict>
          <v:shape type="#_x0000_t75" style="width:250pt; height:157.9427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with 100% indirect lighting.</w:t>
      </w:r>
    </w:p>
    <w:p>
      <w:pPr>
        <w:numPr>
          <w:ilvl w:val="0"/>
          <w:numId w:val="3"/>
        </w:numPr>
      </w:pPr>
      <w:r>
        <w:rPr/>
        <w:t xml:space="preserve">Softlight optics, closed lamp shielding, wide-angle light distribution.</w:t>
      </w:r>
    </w:p>
    <w:p>
      <w:pPr>
        <w:numPr>
          <w:ilvl w:val="0"/>
          <w:numId w:val="3"/>
        </w:numPr>
      </w:pPr>
      <w:r>
        <w:rPr/>
        <w:t xml:space="preserve">White sheet metal lamp shield with arched shape and two curved sheet metal side reflectors, 100% indirect light.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The lamp shield masks the light source which prevents direct view, the light is reflected by the side reflectors resulting in uniform and bright light distribution.</w:t>
      </w:r>
    </w:p>
    <w:p>
      <w:pPr>
        <w:numPr>
          <w:ilvl w:val="0"/>
          <w:numId w:val="3"/>
        </w:numPr>
      </w:pPr>
      <w:r>
        <w:rPr/>
        <w:t xml:space="preserve">Luminous flux: 3700 lm, Luminous efficacy: 109 lm/W.</w:t>
      </w:r>
    </w:p>
    <w:p>
      <w:pPr>
        <w:numPr>
          <w:ilvl w:val="0"/>
          <w:numId w:val="3"/>
        </w:numPr>
      </w:pPr>
      <w:r>
        <w:rPr/>
        <w:t xml:space="preserve">Power: 34.0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Softlight for glare-free light distribution with UGR &lt;= 22 and luminances @ 65° (value) cd/m²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196A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2023-06-28T15:15:33+02:00</dcterms:created>
  <dcterms:modified xsi:type="dcterms:W3CDTF">2023-06-28T15:15:33+02:00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