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US3140/LEDN35S</w:t>
      </w:r>
    </w:p>
    <w:p/>
    <w:p>
      <w:pPr/>
      <w:r>
        <w:pict>
          <v:shape type="#_x0000_t75" style="width:250pt; height:185.67708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Softlight avec 100% en lumière indirecte .</w:t>
      </w:r>
    </w:p>
    <w:p>
      <w:pPr>
        <w:numPr>
          <w:ilvl w:val="0"/>
          <w:numId w:val="3"/>
        </w:numPr>
      </w:pPr>
      <w:r>
        <w:rPr/>
        <w:t xml:space="preserve">Softlight , optique protection de lampe pleine, distribution lumineuse extensive .</w:t>
      </w:r>
    </w:p>
    <w:p>
      <w:pPr>
        <w:numPr>
          <w:ilvl w:val="0"/>
          <w:numId w:val="3"/>
        </w:numPr>
      </w:pPr>
      <w:r>
        <w:rPr/>
        <w:t xml:space="preserve">Diffuseur microprismatique en double voûte, éclairage 100% indirect.</w:t>
      </w:r>
    </w:p>
    <w:p>
      <w:pPr>
        <w:numPr>
          <w:ilvl w:val="0"/>
          <w:numId w:val="3"/>
        </w:numPr>
      </w:pPr>
      <w:r>
        <w:rPr/>
        <w:t xml:space="preserve">Dimensions: 1195 mm x 295 mm x 95 mm.</w:t>
      </w:r>
    </w:p>
    <w:p>
      <w:pPr>
        <w:numPr>
          <w:ilvl w:val="0"/>
          <w:numId w:val="3"/>
        </w:numPr>
      </w:pPr>
      <w:r>
        <w:rPr/>
        <w:t xml:space="preserve">Modulation M300, installation sur plafond modulaire avec profils T visibles.</w:t>
      </w:r>
    </w:p>
    <w:p>
      <w:pPr>
        <w:numPr>
          <w:ilvl w:val="0"/>
          <w:numId w:val="3"/>
        </w:numPr>
      </w:pPr>
      <w:r>
        <w:rPr/>
        <w:t xml:space="preserve">La protectione de la source de lumière empêche la vue directe. la lumière est réfléchie par une optique secondaire permettant une valeur ergonomique supplémentaire et une distribution lumineuse uniforme et performante.</w:t>
      </w:r>
    </w:p>
    <w:p>
      <w:pPr>
        <w:numPr>
          <w:ilvl w:val="0"/>
          <w:numId w:val="3"/>
        </w:numPr>
      </w:pPr>
      <w:r>
        <w:rPr/>
        <w:t xml:space="preserve">Flux lumineux: 3700 lm, Efficacité lumineuse: 109 lm/W.</w:t>
      </w:r>
    </w:p>
    <w:p>
      <w:pPr>
        <w:numPr>
          <w:ilvl w:val="0"/>
          <w:numId w:val="3"/>
        </w:numPr>
      </w:pPr>
      <w:r>
        <w:rPr/>
        <w:t xml:space="preserve">Consommation de courant: 34.0 W, non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97%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Softlight (lumière douce) pour une distribution lumineuse sans éblouissement avec UGR &lt;= {{object.ugrClass} et luminances @ 65° {{object.luminanceClass}} cd/m² conforme à la norme EN 12464-1 pour des exigences visuelles et de concentration modérées.</w:t>
      </w:r>
    </w:p>
    <w:p>
      <w:pPr>
        <w:numPr>
          <w:ilvl w:val="0"/>
          <w:numId w:val="3"/>
        </w:numPr>
      </w:pPr>
      <w:r>
        <w:rPr/>
        <w:t xml:space="preserve">Sécurité photobiologique IEC/TR 62778: RG0.</w:t>
      </w:r>
    </w:p>
    <w:p>
      <w:pPr>
        <w:numPr>
          <w:ilvl w:val="0"/>
          <w:numId w:val="3"/>
        </w:numPr>
      </w:pPr>
      <w:r>
        <w:rPr/>
        <w:t xml:space="preserve">Caisson: tôle d'acier laquée, blanc brillanté.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Degré de protection IK: IK03.</w:t>
      </w:r>
    </w:p>
    <w:p>
      <w:pPr>
        <w:numPr>
          <w:ilvl w:val="0"/>
          <w:numId w:val="3"/>
        </w:numPr>
      </w:pPr>
      <w:r>
        <w:rPr/>
        <w:t xml:space="preserve">Essai au fil incandescent: 650°C.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ED9FF63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2023-06-28T15:15:45+02:00</dcterms:created>
  <dcterms:modified xsi:type="dcterms:W3CDTF">2023-06-28T15:15:45+02:00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