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met 100% indirecte verlichting.</w:t>
      </w:r>
    </w:p>
    <w:p>
      <w:pPr>
        <w:numPr>
          <w:ilvl w:val="0"/>
          <w:numId w:val="3"/>
        </w:numPr>
      </w:pPr>
      <w:r>
        <w:rPr/>
        <w:t xml:space="preserve">Softlight optiek, gesloten lampafscherming, breedstralend lichtverdeling.</w:t>
      </w:r>
    </w:p>
    <w:p>
      <w:pPr>
        <w:numPr>
          <w:ilvl w:val="0"/>
          <w:numId w:val="3"/>
        </w:numPr>
      </w:pPr>
      <w:r>
        <w:rPr/>
        <w:t xml:space="preserve">Lichtbronafscherming uit wit plaatstaal met gewelfde vormgeving en twee gebogen zijreflectoren, geen directe inkijk in lichtbron / 100% indirect licht.</w:t>
      </w:r>
    </w:p>
    <w:p>
      <w:pPr>
        <w:numPr>
          <w:ilvl w:val="0"/>
          <w:numId w:val="3"/>
        </w:numPr>
      </w:pPr>
      <w:r>
        <w:rPr/>
        <w:t xml:space="preserve">Afmetingen: 1195 mm x 295 mm x 95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De lampafscherming bedekt de lichtbron om directe inkijk te voorkomen, het licht wordt gereflecteerd door de zijreflectoren waardoor een uniforme en heldere uitlichting lichtverdeling ontstaat.</w:t>
      </w:r>
    </w:p>
    <w:p>
      <w:pPr>
        <w:numPr>
          <w:ilvl w:val="0"/>
          <w:numId w:val="3"/>
        </w:numPr>
      </w:pPr>
      <w:r>
        <w:rPr/>
        <w:t xml:space="preserve">Lichtstroom: 3750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33.0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Softlight voor niet-verblindende lichtverdeling met UGR &lt;= 22 en luminanties @ 65° cd/m²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ADD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2025-03-02T21:44:35+01:00</dcterms:created>
  <dcterms:modified xsi:type="dcterms:W3CDTF">2025-03-02T21:44:35+01:00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