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2250 lm, Flujo luminoso específico: 107 lm/W.</w:t>
      </w:r>
    </w:p>
    <w:p>
      <w:pPr>
        <w:numPr>
          <w:ilvl w:val="0"/>
          <w:numId w:val="3"/>
        </w:numPr>
      </w:pPr>
      <w:r>
        <w:rPr/>
        <w:t xml:space="preserve">Consumo de energía: 21.0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3000 Cd/m²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FE5CF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2023-06-28T15:15:47+02:00</dcterms:created>
  <dcterms:modified xsi:type="dcterms:W3CDTF">2023-06-28T15:15:47+02:00</dcterms:modified>
</cp:coreProperties>
</file>

<file path=docProps/custom.xml><?xml version="1.0" encoding="utf-8"?>
<Properties xmlns="http://schemas.openxmlformats.org/officeDocument/2006/custom-properties" xmlns:vt="http://schemas.openxmlformats.org/officeDocument/2006/docPropsVTypes"/>
</file>