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107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3000 Cd/m²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7AC8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