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US3141/LEDN20S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mit 100% Indirektanteil .</w:t>
      </w:r>
    </w:p>
    <w:p>
      <w:pPr>
        <w:numPr>
          <w:ilvl w:val="0"/>
          <w:numId w:val="3"/>
        </w:numPr>
      </w:pPr>
      <w:r>
        <w:rPr/>
        <w:t xml:space="preserve">Softlight Optik, geschlossene Lampenabschirmung, breit strahlend Lichtverteilung.</w:t>
      </w:r>
    </w:p>
    <w:p>
      <w:pPr>
        <w:numPr>
          <w:ilvl w:val="0"/>
          <w:numId w:val="3"/>
        </w:numPr>
      </w:pPr>
      <w:r>
        <w:rPr/>
        <w:t xml:space="preserve">Weiße Metalabschirmung in gewölbter Form, mit zwei gebogenen Seitenreflektoren, 100% indirektes Licht.</w:t>
      </w:r>
    </w:p>
    <w:p>
      <w:pPr>
        <w:numPr>
          <w:ilvl w:val="0"/>
          <w:numId w:val="3"/>
        </w:numPr>
      </w:pPr>
      <w:r>
        <w:rPr/>
        <w:t xml:space="preserve">Abmessungen: 595 mm x 595 mm x 90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Die abschirmung verdeckt die Lichtquelle, was eine Direktblendung verhindert. Die Reflektion des Lichts durch Seitenreflektoren erzielt eine gleichmäßige Lichtverteilung.</w:t>
      </w:r>
    </w:p>
    <w:p>
      <w:pPr>
        <w:numPr>
          <w:ilvl w:val="0"/>
          <w:numId w:val="3"/>
        </w:numPr>
      </w:pPr>
      <w:r>
        <w:rPr/>
        <w:t xml:space="preserve">Lichtstrom: 2400 lm, Spezifischer Lichtstrom: 120 lm/W.</w:t>
      </w:r>
    </w:p>
    <w:p>
      <w:pPr>
        <w:numPr>
          <w:ilvl w:val="0"/>
          <w:numId w:val="3"/>
        </w:numPr>
      </w:pPr>
      <w:r>
        <w:rPr/>
        <w:t xml:space="preserve">Anschlussleistung: 20.0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Softlight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RAL9210 -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013C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2025-03-02T21:44:57+01:00</dcterms:created>
  <dcterms:modified xsi:type="dcterms:W3CDTF">2025-03-02T21:44:57+01:00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