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US3141/LEDN40D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com iluminação 100% indireta .</w:t>
      </w:r>
    </w:p>
    <w:p>
      <w:pPr>
        <w:numPr>
          <w:ilvl w:val="0"/>
          <w:numId w:val="3"/>
        </w:numPr>
      </w:pPr>
      <w:r>
        <w:rPr/>
        <w:t xml:space="preserve">Softlight optics, protecção de lampada fechada, extensiva distribuição luminosa.</w:t>
      </w:r>
    </w:p>
    <w:p>
      <w:pPr>
        <w:numPr>
          <w:ilvl w:val="0"/>
          <w:numId w:val="3"/>
        </w:numPr>
      </w:pPr>
      <w:r>
        <w:rPr/>
        <w:t xml:space="preserve">Proteção difusa com chapa metálica branca em forma arqueada e dois reflectores laterais em folha curvas, luz 100% indirecta.</w:t>
      </w:r>
    </w:p>
    <w:p>
      <w:pPr>
        <w:numPr>
          <w:ilvl w:val="0"/>
          <w:numId w:val="3"/>
        </w:numPr>
      </w:pPr>
      <w:r>
        <w:rPr/>
        <w:t xml:space="preserve">Dimensões: 595 mm x 595 mm x 90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O protecção de lãmpada protege a fonte de luz que restringe a visão directa, a luz é reflectida pelos reflectores laterais, o que resulta numa distribuição uniforme e brilhante da luz.</w:t>
      </w:r>
    </w:p>
    <w:p>
      <w:pPr>
        <w:numPr>
          <w:ilvl w:val="0"/>
          <w:numId w:val="3"/>
        </w:numPr>
      </w:pPr>
      <w:r>
        <w:rPr/>
        <w:t xml:space="preserve">Fluxo luminoso: 3800 lm, Fluxo luminoso específico: 110 lm/W.</w:t>
      </w:r>
    </w:p>
    <w:p>
      <w:pPr>
        <w:numPr>
          <w:ilvl w:val="0"/>
          <w:numId w:val="3"/>
        </w:numPr>
      </w:pPr>
      <w:r>
        <w:rPr/>
        <w:t xml:space="preserve">Potência: 34.5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Softlight (Luz suave) para distribuição de luz sem encandeamento com UGR &lt;= 22 e luminâncias @ @ 65° cd/m²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RAL9210 - vit.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F948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2025-03-02T21:45:04+01:00</dcterms:created>
  <dcterms:modified xsi:type="dcterms:W3CDTF">2025-03-02T21:45:04+01:00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