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US3141/LEDN40S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595 mm x 595 mm x 90 mm.</w:t>
      </w:r>
    </w:p>
    <w:p>
      <w:pPr>
        <w:numPr>
          <w:ilvl w:val="0"/>
          <w:numId w:val="3"/>
        </w:numPr>
      </w:pPr>
      <w:r>
        <w:rPr/>
        <w:t xml:space="preserve">M600,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3800 lm, Flujo luminoso específico: 115 lm/W.</w:t>
      </w:r>
    </w:p>
    <w:p>
      <w:pPr>
        <w:numPr>
          <w:ilvl w:val="0"/>
          <w:numId w:val="3"/>
        </w:numPr>
      </w:pPr>
      <w:r>
        <w:rPr/>
        <w:t xml:space="preserve">Consumo de energía: 33.0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95%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22 y luminancias @ 65° cd/m² conforme a la norma EN 12464-1 para exigencia visual moderada.</w:t>
      </w:r>
    </w:p>
    <w:p>
      <w:pPr>
        <w:numPr>
          <w:ilvl w:val="0"/>
          <w:numId w:val="3"/>
        </w:numPr>
      </w:pPr>
      <w:r>
        <w:rPr/>
        <w:t xml:space="preserve">Seguridad fotobiológic EN 62471: RISK GROUP 0 UNLIMITED.</w:t>
      </w:r>
    </w:p>
    <w:p>
      <w:pPr>
        <w:numPr>
          <w:ilvl w:val="0"/>
          <w:numId w:val="3"/>
        </w:numPr>
      </w:pPr>
      <w:r>
        <w:rPr/>
        <w:t xml:space="preserve">Chapa de acero lacado carcasa, 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62BE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2025-03-02T21:45:08+01:00</dcterms:created>
  <dcterms:modified xsi:type="dcterms:W3CDTF">2025-03-02T21:45:08+01:00</dcterms:modified>
</cp:coreProperties>
</file>

<file path=docProps/custom.xml><?xml version="1.0" encoding="utf-8"?>
<Properties xmlns="http://schemas.openxmlformats.org/officeDocument/2006/custom-properties" xmlns:vt="http://schemas.openxmlformats.org/officeDocument/2006/docPropsVTypes"/>
</file>