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Shielded lens óptica, negro policarbonato (PC), extensiva extrema distribución luminosa.</w:t>
      </w:r>
    </w:p>
    <w:p>
      <w:pPr>
        <w:numPr>
          <w:ilvl w:val="0"/>
          <w:numId w:val="3"/>
        </w:numPr>
      </w:pPr>
      <w:r>
        <w:rPr/>
        <w:t xml:space="preserve">Dimensiones: 1371 mm x 60 mm x 90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2200 lm, Flujo luminoso específico: 133 lm/W.</w:t>
      </w:r>
    </w:p>
    <w:p>
      <w:pPr>
        <w:numPr>
          <w:ilvl w:val="0"/>
          <w:numId w:val="3"/>
        </w:numPr>
      </w:pPr>
      <w:r>
        <w:rPr/>
        <w:t xml:space="preserve">Consumo de energía: 16.6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1000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2BB32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2024-02-29T14:03:13+01:00</dcterms:created>
  <dcterms:modified xsi:type="dcterms:W3CDTF">2024-02-29T14:03:13+01:00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