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très extensive .</w:t>
      </w:r>
    </w:p>
    <w:p>
      <w:pPr>
        <w:numPr>
          <w:ilvl w:val="0"/>
          <w:numId w:val="3"/>
        </w:numPr>
      </w:pPr>
      <w:r>
        <w:rPr/>
        <w:t xml:space="preserve">Dimensions: 1371 mm x 60 mm x 90 mm.</w:t>
      </w:r>
    </w:p>
    <w:p>
      <w:pPr>
        <w:numPr>
          <w:ilvl w:val="0"/>
          <w:numId w:val="3"/>
        </w:numPr>
      </w:pPr>
      <w:r>
        <w:rPr/>
        <w:t xml:space="preserve">Flux lumineux: 2100 lm, Efficacité lumineuse: 127 lm/W.</w:t>
      </w:r>
    </w:p>
    <w:p>
      <w:pPr>
        <w:numPr>
          <w:ilvl w:val="0"/>
          <w:numId w:val="3"/>
        </w:numPr>
      </w:pPr>
      <w:r>
        <w:rPr/>
        <w:t xml:space="preserve">Consommation de courant: 16.6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FA6E6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2024-02-29T13:57:15+01:00</dcterms:created>
  <dcterms:modified xsi:type="dcterms:W3CDTF">2024-02-29T13:57:15+01:00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