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V3RDJ0M/N0L0D0X2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difusor optics, acrílico (PMMA) opalino, extensiva distribuição luminosa.</w:t>
      </w:r>
    </w:p>
    <w:p>
      <w:pPr>
        <w:numPr>
          <w:ilvl w:val="0"/>
          <w:numId w:val="3"/>
        </w:numPr>
      </w:pPr>
      <w:r>
        <w:rPr/>
        <w:t xml:space="preserve">Dimensões: 2803 mm x 60 mm x 90 mm.</w:t>
      </w:r>
    </w:p>
    <w:p>
      <w:pPr>
        <w:numPr>
          <w:ilvl w:val="0"/>
          <w:numId w:val="3"/>
        </w:numPr>
      </w:pPr>
      <w:r>
        <w:rPr/>
        <w:t xml:space="preserve">Painel de difusor plano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4700 lm, Fluxo luminoso específico: 124 lm/W.</w:t>
      </w:r>
    </w:p>
    <w:p>
      <w:pPr>
        <w:numPr>
          <w:ilvl w:val="0"/>
          <w:numId w:val="3"/>
        </w:numPr>
      </w:pPr>
      <w:r>
        <w:rPr/>
        <w:t xml:space="preserve">Potência: 37.9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Alumínio lacado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33965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2024-02-29T14:09:49+01:00</dcterms:created>
  <dcterms:modified xsi:type="dcterms:W3CDTF">2024-02-29T14:09:49+01:00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