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V3RDJ0M/N0M0D0X0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arquitectónica.</w:t>
      </w:r>
    </w:p>
    <w:p>
      <w:pPr>
        <w:numPr>
          <w:ilvl w:val="0"/>
          <w:numId w:val="3"/>
        </w:numPr>
      </w:pPr>
      <w:r>
        <w:rPr/>
        <w:t xml:space="preserve">difusor óptica, acrílico (PMMA) opalescente, extensiva distribución luminosa.</w:t>
      </w:r>
    </w:p>
    <w:p>
      <w:pPr>
        <w:numPr>
          <w:ilvl w:val="0"/>
          <w:numId w:val="3"/>
        </w:numPr>
      </w:pPr>
      <w:r>
        <w:rPr/>
        <w:t xml:space="preserve">Dimensiones: 2803 mm x 60 mm x 90 mm.</w:t>
      </w:r>
    </w:p>
    <w:p>
      <w:pPr>
        <w:numPr>
          <w:ilvl w:val="0"/>
          <w:numId w:val="3"/>
        </w:numPr>
      </w:pPr>
      <w:r>
        <w:rPr/>
        <w:t xml:space="preserve">Difusor plano para una iluminación brillante y uniforme.</w:t>
      </w:r>
    </w:p>
    <w:p>
      <w:pPr>
        <w:numPr>
          <w:ilvl w:val="0"/>
          <w:numId w:val="3"/>
        </w:numPr>
      </w:pPr>
      <w:r>
        <w:rPr/>
        <w:t xml:space="preserve">Flujo luminoso: 7700 lm, Flujo luminoso específico: 123 lm/W.</w:t>
      </w:r>
    </w:p>
    <w:p>
      <w:pPr>
        <w:numPr>
          <w:ilvl w:val="0"/>
          <w:numId w:val="3"/>
        </w:numPr>
      </w:pPr>
      <w:r>
        <w:rPr/>
        <w:t xml:space="preserve">Consumo de energía: 62.7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97%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lacado carcasa, RAL9005 - negro intenso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Grado de protección IK: IK07.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>
      <w:pPr>
        <w:numPr>
          <w:ilvl w:val="0"/>
          <w:numId w:val="3"/>
        </w:numPr>
      </w:pPr>
      <w:r>
        <w:rPr/>
        <w:t xml:space="preserve">Selección de accesorios necesarios para el montaje: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0551D5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2024-02-29T13:43:05+01:00</dcterms:created>
  <dcterms:modified xsi:type="dcterms:W3CDTF">2024-02-29T13:43:05+01:00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