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V3RDJ0M/N3M0D0X0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acrílico (PMMA) opalescente, extensiva distribución luminosa.</w:t>
      </w:r>
    </w:p>
    <w:p>
      <w:pPr>
        <w:numPr>
          <w:ilvl w:val="0"/>
          <w:numId w:val="3"/>
        </w:numPr>
      </w:pPr>
      <w:r>
        <w:rPr/>
        <w:t xml:space="preserve">Dimensiones: 843 mm x 60 mm x 90 mm.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2300 lm, Flujo luminoso específico: 113 lm/W.</w:t>
      </w:r>
    </w:p>
    <w:p>
      <w:pPr>
        <w:numPr>
          <w:ilvl w:val="0"/>
          <w:numId w:val="3"/>
        </w:numPr>
      </w:pPr>
      <w:r>
        <w:rPr/>
        <w:t xml:space="preserve">Consumo de energía: 20.4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97%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RAL9005 - negro.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98A811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2025-03-02T22:12:50+01:00</dcterms:created>
  <dcterms:modified xsi:type="dcterms:W3CDTF">2025-03-02T22:12:50+01:00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